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附件</w:t>
      </w:r>
      <w:bookmarkStart w:id="0" w:name="_GoBack"/>
      <w:bookmarkEnd w:id="0"/>
      <w:r>
        <w:rPr>
          <w:rFonts w:hint="eastAsia"/>
          <w:b/>
          <w:sz w:val="28"/>
          <w:szCs w:val="28"/>
          <w:lang w:eastAsia="zh-CN"/>
        </w:rPr>
        <w:t>二：暨南大学教育学院第三批网络课程建设规范</w:t>
      </w:r>
    </w:p>
    <w:p>
      <w:pPr>
        <w:jc w:val="center"/>
        <w:rPr>
          <w:rFonts w:hint="eastAsia"/>
          <w:b/>
          <w:sz w:val="56"/>
          <w:szCs w:val="56"/>
          <w:lang w:eastAsia="zh-CN"/>
        </w:rPr>
      </w:pPr>
      <w:r>
        <w:rPr>
          <w:rFonts w:hint="eastAsia"/>
          <w:b/>
          <w:sz w:val="56"/>
          <w:szCs w:val="56"/>
          <w:lang w:eastAsia="zh-CN"/>
        </w:rPr>
        <w:t>教育学院网络课程建设规范</w:t>
      </w:r>
    </w:p>
    <w:p>
      <w:pPr>
        <w:jc w:val="center"/>
        <w:rPr>
          <w:rFonts w:hint="eastAsia"/>
          <w:b/>
          <w:sz w:val="48"/>
          <w:szCs w:val="48"/>
          <w:lang w:eastAsia="zh-CN"/>
        </w:rPr>
      </w:pPr>
    </w:p>
    <w:p>
      <w:pPr>
        <w:jc w:val="center"/>
        <w:rPr>
          <w:rFonts w:hint="eastAsia"/>
          <w:b/>
          <w:sz w:val="48"/>
          <w:szCs w:val="48"/>
          <w:lang w:eastAsia="zh-CN"/>
        </w:rPr>
      </w:pPr>
    </w:p>
    <w:p>
      <w:pPr>
        <w:numPr>
          <w:ilvl w:val="0"/>
          <w:numId w:val="0"/>
        </w:numPr>
        <w:spacing w:line="360" w:lineRule="auto"/>
        <w:ind w:leftChars="0" w:firstLine="420" w:firstLineChars="0"/>
        <w:rPr>
          <w:rFonts w:hint="eastAsia" w:asci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eastAsia="宋体" w:cs="宋体"/>
          <w:color w:val="000000"/>
          <w:kern w:val="0"/>
          <w:sz w:val="24"/>
          <w:szCs w:val="24"/>
        </w:rPr>
        <w:t>为了建设优质</w:t>
      </w:r>
      <w:r>
        <w:rPr>
          <w:rFonts w:hint="eastAsia" w:ascii="宋体" w:eastAsia="宋体" w:cs="宋体"/>
          <w:color w:val="000000"/>
          <w:kern w:val="0"/>
          <w:sz w:val="24"/>
          <w:szCs w:val="24"/>
          <w:lang w:eastAsia="zh-CN"/>
        </w:rPr>
        <w:t>网络</w:t>
      </w:r>
      <w:r>
        <w:rPr>
          <w:rFonts w:hint="eastAsia" w:ascii="宋体" w:eastAsia="宋体" w:cs="宋体"/>
          <w:color w:val="000000"/>
          <w:kern w:val="0"/>
          <w:sz w:val="24"/>
          <w:szCs w:val="24"/>
        </w:rPr>
        <w:t>课程、统一课件模式和便于以后课件资源的共享，使课件制作老师明确课件开发所需提供的素材及脚本的格式和规范，特制定此规范。</w:t>
      </w:r>
    </w:p>
    <w:p>
      <w:pPr>
        <w:numPr>
          <w:ilvl w:val="0"/>
          <w:numId w:val="0"/>
        </w:numPr>
        <w:spacing w:line="360" w:lineRule="auto"/>
        <w:ind w:leftChars="0" w:firstLine="420" w:firstLineChars="0"/>
        <w:rPr>
          <w:rFonts w:hint="eastAsia" w:ascii="宋体" w:eastAsia="宋体" w:cs="宋体"/>
          <w:color w:val="000000"/>
          <w:kern w:val="0"/>
          <w:sz w:val="24"/>
          <w:szCs w:val="24"/>
        </w:rPr>
      </w:pPr>
    </w:p>
    <w:p>
      <w:pPr>
        <w:pStyle w:val="2"/>
        <w:numPr>
          <w:ilvl w:val="0"/>
          <w:numId w:val="1"/>
        </w:numPr>
        <w:ind w:left="0" w:leftChars="0" w:firstLine="883" w:firstLineChars="0"/>
        <w:rPr>
          <w:rFonts w:hint="eastAsia"/>
        </w:rPr>
      </w:pPr>
      <w:r>
        <w:rPr>
          <w:rFonts w:hint="eastAsia"/>
          <w:lang w:eastAsia="zh-CN"/>
        </w:rPr>
        <w:t>基本过程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2102485</wp:posOffset>
                </wp:positionH>
                <wp:positionV relativeFrom="paragraph">
                  <wp:posOffset>5080</wp:posOffset>
                </wp:positionV>
                <wp:extent cx="4858385" cy="1541145"/>
                <wp:effectExtent l="4445" t="4445" r="13970" b="1651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8385" cy="1541145"/>
                          <a:chOff x="1706" y="2423"/>
                          <a:chExt cx="6679" cy="1695"/>
                        </a:xfrm>
                      </wpg:grpSpPr>
                      <wps:wsp>
                        <wps:cNvPr id="25" name="文本框 25"/>
                        <wps:cNvSpPr txBox="1"/>
                        <wps:spPr>
                          <a:xfrm>
                            <a:off x="1706" y="2423"/>
                            <a:ext cx="589" cy="1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提交项目申请书</w:t>
                              </w:r>
                            </w:p>
                          </w:txbxContent>
                        </wps:txbx>
                        <wps:bodyPr vert="eaVert" upright="1"/>
                      </wps:wsp>
                      <wps:wsp>
                        <wps:cNvPr id="26" name="文本框 26"/>
                        <wps:cNvSpPr txBox="1"/>
                        <wps:spPr>
                          <a:xfrm>
                            <a:off x="2921" y="2423"/>
                            <a:ext cx="589" cy="1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评审通过</w:t>
                              </w:r>
                            </w:p>
                          </w:txbxContent>
                        </wps:txbx>
                        <wps:bodyPr vert="eaVert" upright="1"/>
                      </wps:wsp>
                      <wps:wsp>
                        <wps:cNvPr id="27" name="文本框 27"/>
                        <wps:cNvSpPr txBox="1"/>
                        <wps:spPr>
                          <a:xfrm>
                            <a:off x="4151" y="2423"/>
                            <a:ext cx="589" cy="1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课程建设与开发</w:t>
                              </w:r>
                            </w:p>
                          </w:txbxContent>
                        </wps:txbx>
                        <wps:bodyPr vert="eaVert" upright="1"/>
                      </wps:wsp>
                      <wps:wsp>
                        <wps:cNvPr id="28" name="文本框 28"/>
                        <wps:cNvSpPr txBox="1"/>
                        <wps:spPr>
                          <a:xfrm>
                            <a:off x="5362" y="2423"/>
                            <a:ext cx="589" cy="1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项目验收</w:t>
                              </w:r>
                            </w:p>
                          </w:txbxContent>
                        </wps:txbx>
                        <wps:bodyPr vert="eaVert" upright="1"/>
                      </wps:wsp>
                      <wps:wsp>
                        <wps:cNvPr id="29" name="文本框 29"/>
                        <wps:cNvSpPr txBox="1"/>
                        <wps:spPr>
                          <a:xfrm>
                            <a:off x="6581" y="2423"/>
                            <a:ext cx="589" cy="1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课程投放</w:t>
                              </w:r>
                            </w:p>
                          </w:txbxContent>
                        </wps:txbx>
                        <wps:bodyPr vert="eaVert" upright="1"/>
                      </wps:wsp>
                      <wps:wsp>
                        <wps:cNvPr id="30" name="文本框 30"/>
                        <wps:cNvSpPr txBox="1"/>
                        <wps:spPr>
                          <a:xfrm>
                            <a:off x="7796" y="2423"/>
                            <a:ext cx="589" cy="1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/>
                                <w:jc w:val="center"/>
                                <w:rPr>
                                  <w:sz w:val="21"/>
                                  <w:szCs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2"/>
                                </w:rPr>
                                <w:t>课程维护</w:t>
                              </w:r>
                            </w:p>
                          </w:txbxContent>
                        </wps:txbx>
                        <wps:bodyPr vert="eaVert" upright="1"/>
                      </wps:wsp>
                      <wps:wsp>
                        <wps:cNvPr id="31" name="右箭头 31"/>
                        <wps:cNvSpPr/>
                        <wps:spPr>
                          <a:xfrm>
                            <a:off x="2385" y="3000"/>
                            <a:ext cx="461" cy="345"/>
                          </a:xfrm>
                          <a:prstGeom prst="rightArrow">
                            <a:avLst>
                              <a:gd name="adj1" fmla="val 50000"/>
                              <a:gd name="adj2" fmla="val 33405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2" name="右箭头 32"/>
                        <wps:cNvSpPr/>
                        <wps:spPr>
                          <a:xfrm>
                            <a:off x="3615" y="3000"/>
                            <a:ext cx="461" cy="345"/>
                          </a:xfrm>
                          <a:prstGeom prst="rightArrow">
                            <a:avLst>
                              <a:gd name="adj1" fmla="val 50000"/>
                              <a:gd name="adj2" fmla="val 33405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" name="右箭头 33"/>
                        <wps:cNvSpPr/>
                        <wps:spPr>
                          <a:xfrm>
                            <a:off x="4819" y="3000"/>
                            <a:ext cx="461" cy="345"/>
                          </a:xfrm>
                          <a:prstGeom prst="rightArrow">
                            <a:avLst>
                              <a:gd name="adj1" fmla="val 50000"/>
                              <a:gd name="adj2" fmla="val 33405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4" name="右箭头 34"/>
                        <wps:cNvSpPr/>
                        <wps:spPr>
                          <a:xfrm>
                            <a:off x="6034" y="3000"/>
                            <a:ext cx="461" cy="345"/>
                          </a:xfrm>
                          <a:prstGeom prst="rightArrow">
                            <a:avLst>
                              <a:gd name="adj1" fmla="val 50000"/>
                              <a:gd name="adj2" fmla="val 33405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5" name="右箭头 35"/>
                        <wps:cNvSpPr/>
                        <wps:spPr>
                          <a:xfrm>
                            <a:off x="7249" y="3000"/>
                            <a:ext cx="461" cy="345"/>
                          </a:xfrm>
                          <a:prstGeom prst="rightArrow">
                            <a:avLst>
                              <a:gd name="adj1" fmla="val 50000"/>
                              <a:gd name="adj2" fmla="val 33405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5.55pt;margin-top:0.4pt;height:121.35pt;width:382.55pt;z-index:251675648;mso-width-relative:page;mso-height-relative:page;" coordorigin="1706,2423" coordsize="6679,1695" o:gfxdata="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">
                <o:lock v:ext="edit" aspectratio="f"/>
                <v:shape id="_x0000_s1026" o:spid="_x0000_s1026" o:spt="202" type="#_x0000_t202" style="position:absolute;left:1706;top:2423;height:1695;width:589;" fillcolor="#FFFFFF" filled="t" stroked="t" coordsize="21600,21600" o:gfxdata="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zGNM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 style="layout-flow:vertical-ideographic;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提交项目申请书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921;top:2423;height:1695;width:589;" fillcolor="#FFFFFF" filled="t" stroked="t" coordsize="21600,21600" o:gfxdata="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h79O7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 style="layout-flow:vertical-ideographic;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评审通过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4151;top:2423;height:1695;width:589;" fillcolor="#FFFFFF" filled="t" stroked="t" coordsize="21600,21600" o:gfxdata="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VJYoL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 style="layout-flow:vertical-ideographic;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课程建设与开发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5362;top:2423;height:1695;width:589;" fillcolor="#FFFFFF" filled="t" stroked="t" coordsize="21600,21600" o:gfxdata="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zNzNK2AAAA2wAAAA8A&#10;AAAAAAAAAQAgAAAAIgAAAGRycy9kb3ducmV2LnhtbFBLAQIUABQAAAAIAIdO4kAzLwWeOwAAADkA&#10;AAAQAAAAAAAAAAEAIAAAAAUBAABkcnMvc2hhcGV4bWwueG1sUEsFBgAAAAAGAAYAWwEAAK8DAAAA&#10;AA==&#10;">
                  <v:fill on="t" focussize="0,0"/>
                  <v:stroke color="#000000" joinstyle="miter"/>
                  <v:imagedata o:title=""/>
                  <o:lock v:ext="edit" aspectratio="f"/>
                  <v:textbox style="layout-flow:vertical-ideographic;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项目验收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6581;top:2423;height:1695;width:589;" fillcolor="#FFFFFF" filled="t" stroked="t" coordsize="21600,21600" o:gfxdata="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4FpSb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 style="layout-flow:vertical-ideographic;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课程投放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7796;top:2423;height:1695;width:589;" fillcolor="#FFFFFF" filled="t" stroked="t" coordsize="21600,21600" o:gfxdata="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92JWCbgAAADbAAAA&#10;DwAAAAAAAAABACAAAAAiAAAAZHJzL2Rvd25yZXYueG1sUEsBAhQAFAAAAAgAh07iQDMvBZ47AAAA&#10;OQAAABAAAAAAAAAAAQAgAAAABwEAAGRycy9zaGFwZXhtbC54bWxQSwUGAAAAAAYABgBbAQAAsQMA&#10;AAAA&#10;">
                  <v:fill on="t" focussize="0,0"/>
                  <v:stroke color="#000000" joinstyle="miter"/>
                  <v:imagedata o:title=""/>
                  <o:lock v:ext="edit" aspectratio="f"/>
                  <v:textbox style="layout-flow:vertical-ideographic;">
                    <w:txbxContent>
                      <w:p>
                        <w:pPr>
                          <w:spacing w:line="240" w:lineRule="auto"/>
                          <w:jc w:val="center"/>
                          <w:rPr>
                            <w:sz w:val="21"/>
                            <w:szCs w:val="22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2"/>
                          </w:rPr>
                          <w:t>课程维护</w:t>
                        </w:r>
                      </w:p>
                    </w:txbxContent>
                  </v:textbox>
                </v:shape>
                <v:shape id="_x0000_s1026" o:spid="_x0000_s1026" o:spt="13" type="#_x0000_t13" style="position:absolute;left:2385;top:3000;height:345;width:461;" fillcolor="#FFFFFF" filled="t" stroked="t" coordsize="21600,21600" o:gfxdata="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tK/xS/&#10;AAAA2wAAAA8AAAAAAAAAAQAgAAAAIgAAAGRycy9kb3ducmV2LnhtbFBLAQIUABQAAAAIAIdO4kAz&#10;LwWeOwAAADkAAAAQAAAAAAAAAAEAIAAAAA4BAABkcnMvc2hhcGV4bWwueG1sUEsFBgAAAAAGAAYA&#10;WwEAALgDAAAAAA==&#10;" adj="16201,5400">
                  <v:fill on="t" focussize="0,0"/>
                  <v:stroke color="#000000" joinstyle="miter"/>
                  <v:imagedata o:title=""/>
                  <o:lock v:ext="edit" aspectratio="f"/>
                </v:shape>
                <v:shape id="_x0000_s1026" o:spid="_x0000_s1026" o:spt="13" type="#_x0000_t13" style="position:absolute;left:3615;top:3000;height:345;width:461;" fillcolor="#FFFFFF" filled="t" stroked="t" coordsize="21600,21600" o:gfxdata="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uYYWO/&#10;AAAA2wAAAA8AAAAAAAAAAQAgAAAAIgAAAGRycy9kb3ducmV2LnhtbFBLAQIUABQAAAAIAIdO4kAz&#10;LwWeOwAAADkAAAAQAAAAAAAAAAEAIAAAAA4BAABkcnMvc2hhcGV4bWwueG1sUEsFBgAAAAAGAAYA&#10;WwEAALgDAAAAAA==&#10;" adj="16201,5400">
                  <v:fill on="t" focussize="0,0"/>
                  <v:stroke color="#000000" joinstyle="miter"/>
                  <v:imagedata o:title=""/>
                  <o:lock v:ext="edit" aspectratio="f"/>
                </v:shape>
                <v:shape id="_x0000_s1026" o:spid="_x0000_s1026" o:spt="13" type="#_x0000_t13" style="position:absolute;left:4819;top:3000;height:345;width:461;" fillcolor="#FFFFFF" filled="t" stroked="t" coordsize="21600,21600" o:gfxdata="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TUxPi/&#10;AAAA2wAAAA8AAAAAAAAAAQAgAAAAIgAAAGRycy9kb3ducmV2LnhtbFBLAQIUABQAAAAIAIdO4kAz&#10;LwWeOwAAADkAAAAQAAAAAAAAAAEAIAAAAA4BAABkcnMvc2hhcGV4bWwueG1sUEsFBgAAAAAGAAYA&#10;WwEAALgDAAAAAA==&#10;" adj="16201,5400">
                  <v:fill on="t" focussize="0,0"/>
                  <v:stroke color="#000000" joinstyle="miter"/>
                  <v:imagedata o:title=""/>
                  <o:lock v:ext="edit" aspectratio="f"/>
                </v:shape>
                <v:shape id="_x0000_s1026" o:spid="_x0000_s1026" o:spt="13" type="#_x0000_t13" style="position:absolute;left:6034;top:3000;height:345;width:461;" fillcolor="#FFFFFF" filled="t" stroked="t" coordsize="21600,21600" o:gfxdata="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s9XIy/&#10;AAAA2wAAAA8AAAAAAAAAAQAgAAAAIgAAAGRycy9kb3ducmV2LnhtbFBLAQIUABQAAAAIAIdO4kAz&#10;LwWeOwAAADkAAAAQAAAAAAAAAAEAIAAAAA4BAABkcnMvc2hhcGV4bWwueG1sUEsFBgAAAAAGAAYA&#10;WwEAALgDAAAAAA==&#10;" adj="16201,5400">
                  <v:fill on="t" focussize="0,0"/>
                  <v:stroke color="#000000" joinstyle="miter"/>
                  <v:imagedata o:title=""/>
                  <o:lock v:ext="edit" aspectratio="f"/>
                </v:shape>
                <v:shape id="_x0000_s1026" o:spid="_x0000_s1026" o:spt="13" type="#_x0000_t13" style="position:absolute;left:7249;top:3000;height:345;width:461;" fillcolor="#FFFFFF" filled="t" stroked="t" coordsize="21600,21600" o:gfxdata="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Rx+Re/&#10;AAAA2wAAAA8AAAAAAAAAAQAgAAAAIgAAAGRycy9kb3ducmV2LnhtbFBLAQIUABQAAAAIAIdO4kAz&#10;LwWeOwAAADkAAAAQAAAAAAAAAAEAIAAAAA4BAABkcnMvc2hhcGV4bWwueG1sUEsFBgAAAAAGAAYA&#10;WwEAALgDAAAAAA==&#10;" adj="16201,5400">
                  <v:fill on="t" focussize="0,0"/>
                  <v:stroke color="#000000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numPr>
          <w:ilvl w:val="0"/>
          <w:numId w:val="1"/>
        </w:numPr>
        <w:ind w:left="0" w:leftChars="0" w:firstLine="883" w:firstLineChars="0"/>
        <w:rPr>
          <w:rFonts w:hint="eastAsia"/>
        </w:rPr>
      </w:pPr>
      <w:r>
        <w:rPr>
          <w:rFonts w:hint="eastAsia"/>
          <w:lang w:eastAsia="zh-CN"/>
        </w:rPr>
        <w:t>项目</w:t>
      </w:r>
      <w:r>
        <w:rPr>
          <w:rFonts w:hint="eastAsia"/>
        </w:rPr>
        <w:t>基本要求</w:t>
      </w:r>
    </w:p>
    <w:p>
      <w:pPr>
        <w:numPr>
          <w:ilvl w:val="0"/>
          <w:numId w:val="2"/>
        </w:numPr>
        <w:spacing w:line="360" w:lineRule="auto"/>
        <w:ind w:left="845" w:leftChars="0" w:hanging="425" w:firstLineChars="0"/>
        <w:rPr>
          <w:rFonts w:hint="eastAsia" w:asci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eastAsia="宋体" w:cs="宋体"/>
          <w:color w:val="000000"/>
          <w:kern w:val="0"/>
          <w:sz w:val="24"/>
          <w:szCs w:val="24"/>
        </w:rPr>
        <w:t>必须提供电子文档脚本；</w:t>
      </w:r>
    </w:p>
    <w:p>
      <w:pPr>
        <w:numPr>
          <w:ilvl w:val="0"/>
          <w:numId w:val="2"/>
        </w:numPr>
        <w:spacing w:line="360" w:lineRule="auto"/>
        <w:ind w:left="845" w:leftChars="0" w:hanging="425" w:firstLineChars="0"/>
        <w:rPr>
          <w:rFonts w:hint="eastAsia" w:asci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eastAsia="宋体" w:cs="宋体"/>
          <w:color w:val="000000"/>
          <w:kern w:val="0"/>
          <w:sz w:val="24"/>
          <w:szCs w:val="24"/>
        </w:rPr>
        <w:t>整个课程的结构要清晰；概念清楚，每章节的重点、难点要做个归纳;</w:t>
      </w:r>
    </w:p>
    <w:p>
      <w:pPr>
        <w:numPr>
          <w:ilvl w:val="0"/>
          <w:numId w:val="2"/>
        </w:numPr>
        <w:spacing w:line="360" w:lineRule="auto"/>
        <w:ind w:left="845" w:leftChars="0" w:hanging="425" w:firstLineChars="0"/>
        <w:rPr>
          <w:rFonts w:hint="eastAsia" w:asci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eastAsia="宋体" w:cs="宋体"/>
          <w:color w:val="000000"/>
          <w:kern w:val="0"/>
          <w:sz w:val="24"/>
          <w:szCs w:val="24"/>
        </w:rPr>
        <w:t>知识点明晰，避免大量文字堆积；希望能针对</w:t>
      </w:r>
      <w:r>
        <w:rPr>
          <w:rFonts w:hint="eastAsia" w:ascii="宋体" w:eastAsia="宋体" w:cs="宋体"/>
          <w:color w:val="000000"/>
          <w:kern w:val="0"/>
          <w:sz w:val="24"/>
          <w:szCs w:val="24"/>
          <w:lang w:val="en-US" w:eastAsia="zh-CN"/>
        </w:rPr>
        <w:t>成教</w:t>
      </w:r>
      <w:r>
        <w:rPr>
          <w:rFonts w:hint="eastAsia" w:ascii="宋体" w:eastAsia="宋体" w:cs="宋体"/>
          <w:color w:val="000000"/>
          <w:kern w:val="0"/>
          <w:sz w:val="24"/>
          <w:szCs w:val="24"/>
        </w:rPr>
        <w:t>学生的学习</w:t>
      </w:r>
      <w:r>
        <w:rPr>
          <w:rFonts w:hint="eastAsia" w:ascii="宋体" w:eastAsia="宋体" w:cs="宋体"/>
          <w:color w:val="000000"/>
          <w:kern w:val="0"/>
          <w:sz w:val="24"/>
          <w:szCs w:val="24"/>
          <w:lang w:val="en-US" w:eastAsia="zh-CN"/>
        </w:rPr>
        <w:t>特点</w:t>
      </w:r>
      <w:r>
        <w:rPr>
          <w:rFonts w:hint="eastAsia" w:ascii="宋体" w:eastAsia="宋体" w:cs="宋体"/>
          <w:color w:val="000000"/>
          <w:kern w:val="0"/>
          <w:sz w:val="24"/>
          <w:szCs w:val="24"/>
        </w:rPr>
        <w:t>，有针对性的编排与组织内容；</w:t>
      </w:r>
    </w:p>
    <w:p>
      <w:pPr>
        <w:numPr>
          <w:ilvl w:val="0"/>
          <w:numId w:val="2"/>
        </w:numPr>
        <w:spacing w:line="360" w:lineRule="auto"/>
        <w:ind w:left="845" w:leftChars="0" w:hanging="425" w:firstLineChars="0"/>
        <w:rPr>
          <w:rFonts w:hint="eastAsia" w:asci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eastAsia="宋体" w:cs="宋体"/>
          <w:color w:val="000000"/>
          <w:kern w:val="0"/>
          <w:sz w:val="24"/>
          <w:szCs w:val="24"/>
        </w:rPr>
        <w:t>每章都应有自我测试题（客观题，题目与答案可加深对章节知识点的认知）</w:t>
      </w:r>
    </w:p>
    <w:p>
      <w:pPr>
        <w:numPr>
          <w:ilvl w:val="0"/>
          <w:numId w:val="2"/>
        </w:numPr>
        <w:spacing w:line="360" w:lineRule="auto"/>
        <w:ind w:left="845" w:leftChars="0" w:hanging="425" w:firstLineChars="0"/>
        <w:rPr>
          <w:rFonts w:hint="eastAsia" w:asci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eastAsia="宋体" w:cs="宋体"/>
          <w:color w:val="000000"/>
          <w:kern w:val="0"/>
          <w:sz w:val="24"/>
          <w:szCs w:val="24"/>
        </w:rPr>
        <w:t>图形说明要恰</w:t>
      </w:r>
      <w:r>
        <w:rPr>
          <w:rFonts w:hint="eastAsia" w:ascii="宋体" w:eastAsia="宋体" w:cs="宋体"/>
          <w:color w:val="000000"/>
          <w:kern w:val="0"/>
          <w:sz w:val="24"/>
          <w:szCs w:val="24"/>
          <w:lang w:val="en-US" w:eastAsia="zh-CN"/>
        </w:rPr>
        <w:t>到</w:t>
      </w:r>
      <w:r>
        <w:rPr>
          <w:rFonts w:hint="eastAsia" w:ascii="宋体" w:eastAsia="宋体" w:cs="宋体"/>
          <w:color w:val="000000"/>
          <w:kern w:val="0"/>
          <w:sz w:val="24"/>
          <w:szCs w:val="24"/>
        </w:rPr>
        <w:t>好处，不能直接从书上扫描图形；</w:t>
      </w:r>
    </w:p>
    <w:p>
      <w:pPr>
        <w:numPr>
          <w:ilvl w:val="0"/>
          <w:numId w:val="2"/>
        </w:numPr>
        <w:spacing w:line="360" w:lineRule="auto"/>
        <w:ind w:left="845" w:leftChars="0" w:hanging="425" w:firstLineChars="0"/>
        <w:rPr>
          <w:rFonts w:hint="eastAsia" w:asci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eastAsia="宋体" w:cs="宋体"/>
          <w:color w:val="000000"/>
          <w:kern w:val="0"/>
          <w:sz w:val="24"/>
          <w:szCs w:val="24"/>
        </w:rPr>
        <w:t>动画表达准确、实用，避免过分强调夸张，色彩运用要和谐；</w:t>
      </w:r>
    </w:p>
    <w:p>
      <w:pPr>
        <w:numPr>
          <w:ilvl w:val="0"/>
          <w:numId w:val="2"/>
        </w:numPr>
        <w:spacing w:line="360" w:lineRule="auto"/>
        <w:ind w:left="845" w:leftChars="0" w:hanging="425" w:firstLineChars="0"/>
        <w:rPr>
          <w:rFonts w:hint="eastAsia"/>
          <w:lang w:val="en-US" w:eastAsia="zh-CN"/>
        </w:rPr>
      </w:pPr>
      <w:r>
        <w:rPr>
          <w:rFonts w:hint="eastAsia" w:ascii="宋体" w:eastAsia="宋体" w:cs="宋体"/>
          <w:color w:val="000000"/>
          <w:kern w:val="0"/>
          <w:sz w:val="24"/>
          <w:szCs w:val="24"/>
        </w:rPr>
        <w:t>视频讲解拍摄用资料，需用ppt文件，避免照读文字讲稿。</w:t>
      </w:r>
    </w:p>
    <w:p>
      <w:pPr>
        <w:ind w:left="420"/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1"/>
        </w:numPr>
        <w:ind w:left="0" w:leftChars="0" w:firstLine="0" w:firstLineChars="0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脚本内容规范</w:t>
      </w:r>
    </w:p>
    <w:p>
      <w:pPr>
        <w:ind w:left="420"/>
        <w:rPr>
          <w:rFonts w:hint="eastAsia"/>
          <w:lang w:val="en-US" w:eastAsia="zh-CN"/>
        </w:rPr>
      </w:pPr>
    </w:p>
    <w:tbl>
      <w:tblPr>
        <w:tblStyle w:val="5"/>
        <w:tblW w:w="14219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1843"/>
        <w:gridCol w:w="3543"/>
        <w:gridCol w:w="800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828" w:type="dxa"/>
            <w:tcBorders>
              <w:top w:val="single" w:color="000000" w:sz="18" w:space="0"/>
              <w:left w:val="single" w:color="000000" w:sz="1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3" w:type="dxa"/>
            <w:tcBorders>
              <w:top w:val="single" w:color="000000" w:sz="1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3543" w:type="dxa"/>
            <w:tcBorders>
              <w:top w:val="single" w:color="000000" w:sz="1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分类项目</w:t>
            </w:r>
          </w:p>
        </w:tc>
        <w:tc>
          <w:tcPr>
            <w:tcW w:w="8005" w:type="dxa"/>
            <w:tcBorders>
              <w:top w:val="single" w:color="000000" w:sz="1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标准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828" w:type="dxa"/>
            <w:vMerge w:val="restart"/>
            <w:tcBorders>
              <w:top w:val="single" w:color="000000" w:sz="18" w:space="0"/>
              <w:left w:val="single" w:color="000000" w:sz="1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color="000000" w:sz="18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脚本内容规范</w:t>
            </w:r>
          </w:p>
        </w:tc>
        <w:tc>
          <w:tcPr>
            <w:tcW w:w="3543" w:type="dxa"/>
            <w:tcBorders>
              <w:top w:val="single" w:color="000000" w:sz="1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课程简介</w:t>
            </w:r>
          </w:p>
        </w:tc>
        <w:tc>
          <w:tcPr>
            <w:tcW w:w="8005" w:type="dxa"/>
            <w:tcBorders>
              <w:top w:val="single" w:color="000000" w:sz="1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课程内容简介，适用层次及专业、教学目的、课程的教学特点、主讲教师及教师资料、主要参考文献等。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  <w:jc w:val="center"/>
        </w:trPr>
        <w:tc>
          <w:tcPr>
            <w:tcW w:w="828" w:type="dxa"/>
            <w:vMerge w:val="continue"/>
            <w:tcBorders>
              <w:left w:val="single" w:color="000000" w:sz="1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课程的教学大纲、教学安排</w:t>
            </w:r>
          </w:p>
        </w:tc>
        <w:tc>
          <w:tcPr>
            <w:tcW w:w="8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课程的教学要求、学习进度。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828" w:type="dxa"/>
            <w:vMerge w:val="continue"/>
            <w:tcBorders>
              <w:left w:val="single" w:color="000000" w:sz="1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内容目录结构清单</w:t>
            </w:r>
          </w:p>
        </w:tc>
        <w:tc>
          <w:tcPr>
            <w:tcW w:w="8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一般应以章、节、知识点为目录结构。并附该内容的教学学时数。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828" w:type="dxa"/>
            <w:vMerge w:val="continue"/>
            <w:tcBorders>
              <w:left w:val="single" w:color="000000" w:sz="1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授课脚本内容</w:t>
            </w:r>
          </w:p>
        </w:tc>
        <w:tc>
          <w:tcPr>
            <w:tcW w:w="8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授课脚本内容应尽量简洁，条理清晰，重点突出，避免书本内容照搬。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828" w:type="dxa"/>
            <w:vMerge w:val="continue"/>
            <w:tcBorders>
              <w:left w:val="single" w:color="000000" w:sz="1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例题</w:t>
            </w:r>
          </w:p>
        </w:tc>
        <w:tc>
          <w:tcPr>
            <w:tcW w:w="8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例题应有分析说明，分析应清晰，简洁。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828" w:type="dxa"/>
            <w:vMerge w:val="continue"/>
            <w:tcBorders>
              <w:left w:val="single" w:color="000000" w:sz="1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案例、相关资料</w:t>
            </w:r>
          </w:p>
        </w:tc>
        <w:tc>
          <w:tcPr>
            <w:tcW w:w="8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阅读性的材料，内容应详细清晰。案例应有案例的分析说明。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828" w:type="dxa"/>
            <w:vMerge w:val="continue"/>
            <w:tcBorders>
              <w:left w:val="single" w:color="000000" w:sz="1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重点、小结</w:t>
            </w:r>
          </w:p>
        </w:tc>
        <w:tc>
          <w:tcPr>
            <w:tcW w:w="8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每个完整的教学单元都应有重点说明以及内容小结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828" w:type="dxa"/>
            <w:vMerge w:val="continue"/>
            <w:tcBorders>
              <w:left w:val="single" w:color="000000" w:sz="1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自测题</w:t>
            </w:r>
          </w:p>
        </w:tc>
        <w:tc>
          <w:tcPr>
            <w:tcW w:w="8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根据需要以教学单元为单位提供自测题</w:t>
            </w: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（选择题）</w:t>
            </w: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，并附有自测题答案。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828" w:type="dxa"/>
            <w:vMerge w:val="continue"/>
            <w:tcBorders>
              <w:left w:val="single" w:color="000000" w:sz="1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复习提纲</w:t>
            </w:r>
          </w:p>
        </w:tc>
        <w:tc>
          <w:tcPr>
            <w:tcW w:w="8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一份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828" w:type="dxa"/>
            <w:vMerge w:val="continue"/>
            <w:tcBorders>
              <w:left w:val="single" w:color="000000" w:sz="1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模拟试题</w:t>
            </w:r>
          </w:p>
        </w:tc>
        <w:tc>
          <w:tcPr>
            <w:tcW w:w="8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最少一份。包括模拟试题的答案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828" w:type="dxa"/>
            <w:vMerge w:val="continue"/>
            <w:tcBorders>
              <w:left w:val="single" w:color="000000" w:sz="1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疑难问题、问题讨论</w:t>
            </w:r>
          </w:p>
        </w:tc>
        <w:tc>
          <w:tcPr>
            <w:tcW w:w="8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课程的疑难问题、讨论问题，并附有问题的解析。可按课程需要提供。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828" w:type="dxa"/>
            <w:vMerge w:val="continue"/>
            <w:tcBorders>
              <w:left w:val="single" w:color="000000" w:sz="1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视频PPT制作</w:t>
            </w:r>
          </w:p>
        </w:tc>
        <w:tc>
          <w:tcPr>
            <w:tcW w:w="8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选择分辨率：4:3或者16:9。排版规范，风格一致，色彩搭配合理。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pStyle w:val="2"/>
        <w:numPr>
          <w:ilvl w:val="0"/>
          <w:numId w:val="1"/>
        </w:numPr>
        <w:ind w:left="0" w:leftChars="0" w:firstLine="0" w:firstLineChars="0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微视频技术标准（由后台技术负责）</w:t>
      </w:r>
    </w:p>
    <w:tbl>
      <w:tblPr>
        <w:tblStyle w:val="5"/>
        <w:tblW w:w="14219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1843"/>
        <w:gridCol w:w="3543"/>
        <w:gridCol w:w="800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828" w:type="dxa"/>
            <w:tcBorders>
              <w:top w:val="single" w:color="000000" w:sz="18" w:space="0"/>
              <w:left w:val="single" w:color="000000" w:sz="1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3" w:type="dxa"/>
            <w:tcBorders>
              <w:top w:val="single" w:color="000000" w:sz="1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3543" w:type="dxa"/>
            <w:tcBorders>
              <w:top w:val="single" w:color="000000" w:sz="1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分类项目</w:t>
            </w:r>
          </w:p>
        </w:tc>
        <w:tc>
          <w:tcPr>
            <w:tcW w:w="8005" w:type="dxa"/>
            <w:tcBorders>
              <w:top w:val="single" w:color="000000" w:sz="1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标准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828" w:type="dxa"/>
            <w:vMerge w:val="restart"/>
            <w:tcBorders>
              <w:top w:val="single" w:color="000000" w:sz="18" w:space="0"/>
              <w:left w:val="single" w:color="000000" w:sz="1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bCs/>
                <w:color w:val="000000"/>
                <w:kern w:val="0"/>
                <w:sz w:val="24"/>
                <w:szCs w:val="24"/>
              </w:rPr>
              <w:t>1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18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视频</w:t>
            </w:r>
          </w:p>
        </w:tc>
        <w:tc>
          <w:tcPr>
            <w:tcW w:w="3543" w:type="dxa"/>
            <w:tcBorders>
              <w:top w:val="single" w:color="000000" w:sz="1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视频长度</w:t>
            </w:r>
          </w:p>
        </w:tc>
        <w:tc>
          <w:tcPr>
            <w:tcW w:w="8005" w:type="dxa"/>
            <w:tcBorders>
              <w:top w:val="single" w:color="000000" w:sz="1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一般每段微视频5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-15</w:t>
            </w: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分钟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之间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828" w:type="dxa"/>
            <w:vMerge w:val="continue"/>
            <w:tcBorders>
              <w:left w:val="single" w:color="000000" w:sz="1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 xml:space="preserve">视频编码方式 </w:t>
            </w:r>
          </w:p>
        </w:tc>
        <w:tc>
          <w:tcPr>
            <w:tcW w:w="8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Verdana" w:hAnsi="Verdana" w:eastAsia="宋体" w:cs="Verdana"/>
                <w:color w:val="000000"/>
                <w:kern w:val="0"/>
                <w:sz w:val="24"/>
                <w:szCs w:val="24"/>
              </w:rPr>
              <w:t>H.264.mp4</w:t>
            </w: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（视频压缩采用</w:t>
            </w:r>
            <w:r>
              <w:rPr>
                <w:rFonts w:ascii="Verdana" w:hAnsi="Verdana" w:eastAsia="宋体" w:cs="Verdana"/>
                <w:color w:val="000000"/>
                <w:kern w:val="0"/>
                <w:sz w:val="24"/>
                <w:szCs w:val="24"/>
              </w:rPr>
              <w:t xml:space="preserve">H.264 </w:t>
            </w: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编码方式，封装格式采用</w:t>
            </w:r>
            <w:r>
              <w:rPr>
                <w:rFonts w:ascii="Verdana" w:hAnsi="Verdana" w:eastAsia="宋体" w:cs="Verdana"/>
                <w:color w:val="000000"/>
                <w:kern w:val="0"/>
                <w:sz w:val="24"/>
                <w:szCs w:val="24"/>
              </w:rPr>
              <w:t>MP4</w:t>
            </w: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  <w:jc w:val="center"/>
        </w:trPr>
        <w:tc>
          <w:tcPr>
            <w:tcW w:w="828" w:type="dxa"/>
            <w:vMerge w:val="continue"/>
            <w:tcBorders>
              <w:left w:val="single" w:color="000000" w:sz="1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 xml:space="preserve">视频分辨率 </w:t>
            </w:r>
          </w:p>
        </w:tc>
        <w:tc>
          <w:tcPr>
            <w:tcW w:w="8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存档片不低于1920x1080像素</w:t>
            </w:r>
          </w:p>
          <w:p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网络上传片不低于1080*720像素</w:t>
            </w:r>
          </w:p>
          <w:p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如高清视频文件过大，还同时需要分辨率不低于</w:t>
            </w:r>
            <w:r>
              <w:rPr>
                <w:rFonts w:ascii="Verdana" w:hAnsi="Verdana" w:eastAsia="宋体" w:cs="Verdana"/>
                <w:color w:val="000000"/>
                <w:kern w:val="0"/>
                <w:sz w:val="24"/>
                <w:szCs w:val="24"/>
              </w:rPr>
              <w:t>720*480</w:t>
            </w: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像素的标清视频文件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828" w:type="dxa"/>
            <w:vMerge w:val="continue"/>
            <w:tcBorders>
              <w:left w:val="single" w:color="000000" w:sz="1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视频帧率（</w:t>
            </w:r>
            <w:r>
              <w:rPr>
                <w:rFonts w:ascii="Verdana" w:hAnsi="Verdana" w:eastAsia="宋体" w:cs="Verdana"/>
                <w:color w:val="000000"/>
                <w:kern w:val="0"/>
                <w:sz w:val="24"/>
                <w:szCs w:val="24"/>
              </w:rPr>
              <w:t>Frame Rate</w:t>
            </w: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8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Verdana" w:hAnsi="Verdana" w:cs="Verdana"/>
                <w:kern w:val="0"/>
                <w:sz w:val="24"/>
                <w:szCs w:val="24"/>
              </w:rPr>
            </w:pPr>
            <w:r>
              <w:rPr>
                <w:rFonts w:ascii="Verdana" w:hAnsi="Verdana" w:cs="Verdana"/>
                <w:kern w:val="0"/>
                <w:sz w:val="24"/>
                <w:szCs w:val="24"/>
              </w:rPr>
              <w:t xml:space="preserve">25 fps </w:t>
            </w:r>
            <w:r>
              <w:rPr>
                <w:rFonts w:hint="eastAsia" w:ascii="宋体" w:hAnsi="Verdana" w:eastAsia="宋体" w:cs="宋体"/>
                <w:kern w:val="0"/>
                <w:sz w:val="24"/>
                <w:szCs w:val="24"/>
              </w:rPr>
              <w:t>或者</w:t>
            </w:r>
            <w:r>
              <w:rPr>
                <w:rFonts w:ascii="宋体" w:hAnsi="Verdana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Verdana" w:hAnsi="Verdana" w:cs="Verdana"/>
                <w:kern w:val="0"/>
                <w:sz w:val="24"/>
                <w:szCs w:val="24"/>
              </w:rPr>
              <w:t>29.97 fps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Verdana" w:eastAsia="宋体" w:cs="宋体"/>
                <w:kern w:val="0"/>
                <w:sz w:val="24"/>
                <w:szCs w:val="24"/>
              </w:rPr>
              <w:t>（</w:t>
            </w:r>
            <w:r>
              <w:rPr>
                <w:rFonts w:ascii="Verdana" w:hAnsi="Verdana" w:cs="Verdana"/>
                <w:kern w:val="0"/>
                <w:sz w:val="24"/>
                <w:szCs w:val="24"/>
              </w:rPr>
              <w:t>fps:</w:t>
            </w:r>
            <w:r>
              <w:rPr>
                <w:rFonts w:hint="eastAsia" w:ascii="宋体" w:hAnsi="Verdana" w:eastAsia="宋体" w:cs="宋体"/>
                <w:kern w:val="0"/>
                <w:sz w:val="24"/>
                <w:szCs w:val="24"/>
              </w:rPr>
              <w:t>每秒帧数）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828" w:type="dxa"/>
            <w:vMerge w:val="continue"/>
            <w:tcBorders>
              <w:left w:val="single" w:color="000000" w:sz="1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视频码率（</w:t>
            </w:r>
            <w:r>
              <w:rPr>
                <w:rFonts w:ascii="Verdana" w:hAnsi="Verdana" w:eastAsia="宋体" w:cs="Verdana"/>
                <w:color w:val="000000"/>
                <w:kern w:val="0"/>
                <w:sz w:val="24"/>
                <w:szCs w:val="24"/>
              </w:rPr>
              <w:t>Bit Rate</w:t>
            </w: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8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存档版本不低于8Mbps</w:t>
            </w:r>
          </w:p>
          <w:p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 xml:space="preserve">网络发布版本不低于2Mbps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  <w:jc w:val="center"/>
        </w:trPr>
        <w:tc>
          <w:tcPr>
            <w:tcW w:w="828" w:type="dxa"/>
            <w:vMerge w:val="continue"/>
            <w:tcBorders>
              <w:left w:val="single" w:color="000000" w:sz="1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图像效果</w:t>
            </w:r>
          </w:p>
        </w:tc>
        <w:tc>
          <w:tcPr>
            <w:tcW w:w="8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白平衡正确，无明显偏色（特效除外），无明显色差。图像不过亮、不过暗。</w:t>
            </w:r>
          </w:p>
          <w:p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人、物移动时无拖影耀光现象；</w:t>
            </w:r>
          </w:p>
          <w:p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图像信噪比不低于55dB，无明显杂波。</w:t>
            </w:r>
          </w:p>
          <w:p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全片图像同步性能稳定，无失步现象；图像无抖动跳跃，色彩无突变，编辑点处图像稳定。</w:t>
            </w:r>
          </w:p>
          <w:p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无其它图像质量问题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828" w:type="dxa"/>
            <w:vMerge w:val="restart"/>
            <w:tcBorders>
              <w:top w:val="single" w:color="000000" w:sz="8" w:space="0"/>
              <w:left w:val="single" w:color="000000" w:sz="1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4"/>
                <w:szCs w:val="24"/>
              </w:rPr>
              <w:t>音频</w:t>
            </w: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4"/>
                <w:szCs w:val="24"/>
              </w:rPr>
              <w:t>音频格式</w:t>
            </w:r>
            <w:r>
              <w:rPr>
                <w:rFonts w:ascii="Verdana" w:hAnsi="Verdana" w:eastAsia="宋体" w:cs="Verdana"/>
                <w:kern w:val="0"/>
                <w:sz w:val="24"/>
                <w:szCs w:val="24"/>
              </w:rPr>
              <w:t xml:space="preserve"> (Audio)</w:t>
            </w:r>
          </w:p>
        </w:tc>
        <w:tc>
          <w:tcPr>
            <w:tcW w:w="8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4"/>
                <w:szCs w:val="24"/>
              </w:rPr>
              <w:t>双</w:t>
            </w:r>
            <w:r>
              <w:rPr>
                <w:rFonts w:ascii="宋体" w:eastAsia="宋体" w:cs="宋体"/>
                <w:kern w:val="0"/>
                <w:sz w:val="24"/>
                <w:szCs w:val="24"/>
              </w:rPr>
              <w:t>声道</w:t>
            </w:r>
            <w:r>
              <w:rPr>
                <w:rFonts w:hint="eastAsia" w:ascii="宋体" w:eastAsia="宋体" w:cs="宋体"/>
                <w:kern w:val="0"/>
                <w:sz w:val="24"/>
                <w:szCs w:val="24"/>
              </w:rPr>
              <w:t>，线性高级音频编码格式，</w:t>
            </w:r>
            <w:r>
              <w:rPr>
                <w:rFonts w:ascii="Verdana" w:hAnsi="Verdana" w:eastAsia="宋体" w:cs="Verdana"/>
                <w:kern w:val="0"/>
                <w:sz w:val="24"/>
                <w:szCs w:val="24"/>
              </w:rPr>
              <w:t>Linear AAC</w:t>
            </w:r>
            <w:r>
              <w:rPr>
                <w:rFonts w:hint="eastAsia" w:ascii="Verdana" w:hAnsi="Verdana" w:eastAsia="宋体" w:cs="Verdana"/>
                <w:kern w:val="0"/>
                <w:sz w:val="24"/>
                <w:szCs w:val="24"/>
              </w:rPr>
              <w:t>（MPEG-4 Part3）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828" w:type="dxa"/>
            <w:vMerge w:val="continue"/>
            <w:tcBorders>
              <w:left w:val="single" w:color="000000" w:sz="1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4"/>
                <w:szCs w:val="24"/>
              </w:rPr>
              <w:t>音频采样率</w:t>
            </w:r>
            <w:r>
              <w:rPr>
                <w:rFonts w:ascii="Verdana" w:hAnsi="Verdana" w:eastAsia="宋体" w:cs="Verdana"/>
                <w:kern w:val="0"/>
                <w:sz w:val="24"/>
                <w:szCs w:val="24"/>
              </w:rPr>
              <w:t xml:space="preserve"> (Sample Rate)</w:t>
            </w:r>
          </w:p>
        </w:tc>
        <w:tc>
          <w:tcPr>
            <w:tcW w:w="8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4"/>
                <w:szCs w:val="24"/>
              </w:rPr>
              <w:t>采样率不低于44.1KHz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828" w:type="dxa"/>
            <w:vMerge w:val="continue"/>
            <w:tcBorders>
              <w:left w:val="single" w:color="000000" w:sz="1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4"/>
                <w:szCs w:val="24"/>
              </w:rPr>
              <w:t>音频码率</w:t>
            </w:r>
            <w:r>
              <w:rPr>
                <w:rFonts w:ascii="Verdana" w:hAnsi="Verdana" w:eastAsia="宋体" w:cs="Verdana"/>
                <w:kern w:val="0"/>
                <w:sz w:val="24"/>
                <w:szCs w:val="24"/>
              </w:rPr>
              <w:t xml:space="preserve"> (Bit Rate)</w:t>
            </w:r>
          </w:p>
        </w:tc>
        <w:tc>
          <w:tcPr>
            <w:tcW w:w="8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ind w:firstLineChars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存档片</w:t>
            </w:r>
            <w:r>
              <w:rPr>
                <w:rFonts w:hint="eastAsia" w:ascii="宋体" w:eastAsia="宋体" w:cs="宋体"/>
                <w:kern w:val="0"/>
                <w:sz w:val="24"/>
                <w:szCs w:val="24"/>
              </w:rPr>
              <w:t>不低于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1.4Mbps</w:t>
            </w:r>
          </w:p>
          <w:p>
            <w:pPr>
              <w:pStyle w:val="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ind w:firstLineChars="0"/>
              <w:jc w:val="left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网络上传片码流率不低于128Kbps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  <w:jc w:val="center"/>
        </w:trPr>
        <w:tc>
          <w:tcPr>
            <w:tcW w:w="828" w:type="dxa"/>
            <w:vMerge w:val="continue"/>
            <w:tcBorders>
              <w:left w:val="single" w:color="000000" w:sz="1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4"/>
                <w:szCs w:val="24"/>
              </w:rPr>
              <w:t>音频信噪比</w:t>
            </w:r>
            <w:r>
              <w:rPr>
                <w:rFonts w:ascii="Verdana" w:hAnsi="Verdana" w:eastAsia="宋体" w:cs="Verdana"/>
                <w:kern w:val="0"/>
                <w:sz w:val="24"/>
                <w:szCs w:val="24"/>
              </w:rPr>
              <w:t xml:space="preserve"> (SNR)</w:t>
            </w:r>
          </w:p>
        </w:tc>
        <w:tc>
          <w:tcPr>
            <w:tcW w:w="8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6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firstLineChars="0"/>
              <w:jc w:val="left"/>
              <w:rPr>
                <w:rFonts w:ascii="Verdana" w:hAnsi="Verdana" w:eastAsia="宋体" w:cs="Verdana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4"/>
                <w:szCs w:val="24"/>
              </w:rPr>
              <w:t>不低</w:t>
            </w:r>
            <w:r>
              <w:rPr>
                <w:rFonts w:ascii="宋体" w:eastAsia="宋体" w:cs="宋体"/>
                <w:kern w:val="0"/>
                <w:sz w:val="24"/>
                <w:szCs w:val="24"/>
              </w:rPr>
              <w:t>于</w:t>
            </w:r>
            <w:r>
              <w:rPr>
                <w:rFonts w:ascii="Verdana" w:hAnsi="Verdana" w:eastAsia="宋体" w:cs="Verdana"/>
                <w:kern w:val="0"/>
                <w:sz w:val="24"/>
                <w:szCs w:val="24"/>
              </w:rPr>
              <w:t>48dB</w:t>
            </w:r>
          </w:p>
          <w:p>
            <w:pPr>
              <w:pStyle w:val="6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firstLineChars="0"/>
              <w:jc w:val="left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4"/>
                <w:szCs w:val="24"/>
              </w:rPr>
              <w:t>电平指标：-12db—-8db声音无明显失真、放音过冲、过弱</w:t>
            </w:r>
            <w:r>
              <w:rPr>
                <w:rFonts w:hint="eastAsia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 w:hRule="atLeast"/>
          <w:jc w:val="center"/>
        </w:trPr>
        <w:tc>
          <w:tcPr>
            <w:tcW w:w="828" w:type="dxa"/>
            <w:vMerge w:val="continue"/>
            <w:tcBorders>
              <w:left w:val="single" w:color="000000" w:sz="1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4"/>
                <w:szCs w:val="24"/>
              </w:rPr>
              <w:t>声音效果</w:t>
            </w:r>
          </w:p>
        </w:tc>
        <w:tc>
          <w:tcPr>
            <w:tcW w:w="8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firstLineChars="0"/>
              <w:jc w:val="left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4"/>
                <w:szCs w:val="24"/>
              </w:rPr>
              <w:t>声音和画面同步。</w:t>
            </w:r>
          </w:p>
          <w:p>
            <w:pPr>
              <w:pStyle w:val="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firstLineChars="0"/>
              <w:jc w:val="left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4"/>
                <w:szCs w:val="24"/>
              </w:rPr>
              <w:t>声音无明显失真、无明显噪音、回声或其它杂音，无音量忽大忽小现象。</w:t>
            </w:r>
          </w:p>
          <w:p>
            <w:pPr>
              <w:pStyle w:val="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firstLineChars="0"/>
              <w:jc w:val="left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4"/>
                <w:szCs w:val="24"/>
              </w:rPr>
              <w:t>伴音清晰、饱满、圆润，解说声与现场声无明显比例失调，解说声与背景音乐无明显比例失调。</w:t>
            </w:r>
          </w:p>
          <w:p>
            <w:pPr>
              <w:pStyle w:val="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firstLineChars="0"/>
              <w:jc w:val="left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4"/>
                <w:szCs w:val="24"/>
              </w:rPr>
              <w:t>无其它声音质量问题。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828" w:type="dxa"/>
            <w:tcBorders>
              <w:top w:val="single" w:color="000000" w:sz="8" w:space="0"/>
              <w:left w:val="single" w:color="000000" w:sz="1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剪辑</w:t>
            </w: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ind w:firstLineChars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剪辑剪辑流畅，无生硬镜头，无空白帧，转场特效明确、自然。</w:t>
            </w:r>
          </w:p>
          <w:p>
            <w:pPr>
              <w:pStyle w:val="6"/>
              <w:numPr>
                <w:ilvl w:val="0"/>
                <w:numId w:val="9"/>
              </w:numPr>
              <w:spacing w:line="240" w:lineRule="auto"/>
              <w:ind w:firstLineChars="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突出镜头美感，平面构图合理。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828" w:type="dxa"/>
            <w:tcBorders>
              <w:top w:val="single" w:color="000000" w:sz="8" w:space="0"/>
              <w:left w:val="single" w:color="000000" w:sz="1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后期动画</w:t>
            </w: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6"/>
              <w:numPr>
                <w:ilvl w:val="0"/>
                <w:numId w:val="9"/>
              </w:numPr>
              <w:spacing w:line="240" w:lineRule="auto"/>
              <w:ind w:firstLineChars="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二、三维动画设计制作合理，贴合课程内容表现。</w:t>
            </w:r>
          </w:p>
          <w:p>
            <w:pPr>
              <w:pStyle w:val="6"/>
              <w:numPr>
                <w:ilvl w:val="0"/>
                <w:numId w:val="9"/>
              </w:numPr>
              <w:spacing w:line="240" w:lineRule="auto"/>
              <w:ind w:firstLineChars="0"/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后期动画文字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后期制作的动画、显示的文字（非字幕文件），不能出现错误，同一门课程中字体风格一致。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 w:hRule="atLeast"/>
          <w:jc w:val="center"/>
        </w:trPr>
        <w:tc>
          <w:tcPr>
            <w:tcW w:w="828" w:type="dxa"/>
            <w:tcBorders>
              <w:top w:val="single" w:color="000000" w:sz="8" w:space="0"/>
              <w:left w:val="single" w:color="000000" w:sz="1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字幕</w:t>
            </w: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ind w:firstLineChars="0"/>
              <w:jc w:val="left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4"/>
                <w:szCs w:val="24"/>
              </w:rPr>
              <w:t>中文授课视频提供对应的中文字幕，英文授课视频提供相应的英文字幕。</w:t>
            </w:r>
          </w:p>
          <w:p>
            <w:pPr>
              <w:pStyle w:val="6"/>
              <w:numPr>
                <w:ilvl w:val="0"/>
                <w:numId w:val="10"/>
              </w:numPr>
              <w:spacing w:line="240" w:lineRule="auto"/>
              <w:ind w:firstLineChars="0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4"/>
                <w:szCs w:val="24"/>
              </w:rPr>
              <w:t>中文字幕无错别字，无口述性逻辑错误，单行显示。</w:t>
            </w:r>
          </w:p>
          <w:p>
            <w:pPr>
              <w:pStyle w:val="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ind w:firstLineChars="0"/>
              <w:jc w:val="left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4"/>
                <w:szCs w:val="24"/>
              </w:rPr>
              <w:t>英文字幕无明显的语法、拼写错误，不引起歧异，无逻辑错误，断句精确，单行或双行显示。</w:t>
            </w:r>
          </w:p>
          <w:p>
            <w:pPr>
              <w:pStyle w:val="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ind w:firstLineChars="0"/>
              <w:jc w:val="left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4"/>
                <w:szCs w:val="24"/>
              </w:rPr>
              <w:t>字幕不能固定加在视频上，必须以单独的</w:t>
            </w:r>
            <w:r>
              <w:rPr>
                <w:rFonts w:ascii="宋体" w:eastAsia="宋体" w:cs="宋体"/>
                <w:kern w:val="0"/>
                <w:sz w:val="24"/>
                <w:szCs w:val="24"/>
              </w:rPr>
              <w:t xml:space="preserve"> SRT </w:t>
            </w:r>
            <w:r>
              <w:rPr>
                <w:rFonts w:hint="eastAsia" w:ascii="宋体" w:eastAsia="宋体" w:cs="宋体"/>
                <w:kern w:val="0"/>
                <w:sz w:val="24"/>
                <w:szCs w:val="24"/>
              </w:rPr>
              <w:t>文件格式提供。</w:t>
            </w:r>
          </w:p>
          <w:p>
            <w:pPr>
              <w:pStyle w:val="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ind w:firstLineChars="0"/>
              <w:jc w:val="left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kern w:val="0"/>
                <w:sz w:val="24"/>
                <w:szCs w:val="24"/>
              </w:rPr>
              <w:t>字幕采用</w:t>
            </w:r>
            <w:r>
              <w:rPr>
                <w:rFonts w:hint="eastAsia" w:ascii="宋体" w:eastAsia="宋体" w:cs="宋体"/>
                <w:kern w:val="0"/>
                <w:sz w:val="24"/>
                <w:szCs w:val="24"/>
              </w:rPr>
              <w:t>UTF-8编码。</w:t>
            </w:r>
          </w:p>
          <w:p>
            <w:pPr>
              <w:pStyle w:val="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ind w:firstLineChars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4"/>
                <w:szCs w:val="24"/>
              </w:rPr>
              <w:t>时间轴准确，字幕出现时间与视频声音一致，音频对轨误差不超过500毫秒。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828" w:type="dxa"/>
            <w:vMerge w:val="restart"/>
            <w:tcBorders>
              <w:top w:val="single" w:color="000000" w:sz="8" w:space="0"/>
              <w:left w:val="single" w:color="000000" w:sz="1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b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片头、片尾及宣传片</w:t>
            </w: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片头、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片尾</w:t>
            </w:r>
          </w:p>
        </w:tc>
        <w:tc>
          <w:tcPr>
            <w:tcW w:w="8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6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firstLineChars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片头或片尾的长度不超过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 xml:space="preserve">20 </w:t>
            </w: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秒</w:t>
            </w:r>
          </w:p>
          <w:p>
            <w:pPr>
              <w:pStyle w:val="6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firstLineChars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片头或片尾应使用体现课程所属院校、机构特色的素材</w:t>
            </w:r>
          </w:p>
          <w:p>
            <w:pPr>
              <w:pStyle w:val="6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firstLineChars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片头或片尾中应出现明显、不失真的课程所属院校、机构的字样和标志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828" w:type="dxa"/>
            <w:vMerge w:val="continue"/>
            <w:tcBorders>
              <w:left w:val="single" w:color="000000" w:sz="1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视频</w:t>
            </w:r>
            <w:r>
              <w:rPr>
                <w:rFonts w:ascii="Verdana" w:hAnsi="Verdana" w:eastAsia="宋体" w:cs="Verdana"/>
                <w:color w:val="000000"/>
                <w:kern w:val="0"/>
                <w:sz w:val="24"/>
                <w:szCs w:val="24"/>
              </w:rPr>
              <w:t>Logo</w:t>
            </w:r>
          </w:p>
        </w:tc>
        <w:tc>
          <w:tcPr>
            <w:tcW w:w="8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视频的相应位置应加上课程所属院校、机构统一设计</w:t>
            </w:r>
            <w:r>
              <w:rPr>
                <w:rFonts w:ascii="Verdana" w:hAnsi="Verdana" w:eastAsia="宋体" w:cs="Verdana"/>
                <w:color w:val="000000"/>
                <w:kern w:val="0"/>
                <w:sz w:val="24"/>
                <w:szCs w:val="24"/>
              </w:rPr>
              <w:t xml:space="preserve">Logo </w:t>
            </w: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标志，表示应明显、且不影响正常视频内容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828" w:type="dxa"/>
            <w:vMerge w:val="continue"/>
            <w:tcBorders>
              <w:left w:val="single" w:color="000000" w:sz="1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宣传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片</w:t>
            </w:r>
          </w:p>
        </w:tc>
        <w:tc>
          <w:tcPr>
            <w:tcW w:w="8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6"/>
              <w:numPr>
                <w:ilvl w:val="0"/>
                <w:numId w:val="12"/>
              </w:numPr>
              <w:spacing w:line="240" w:lineRule="auto"/>
              <w:ind w:firstLineChars="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课程宣传片成片视频长度应不短于2分钟。</w:t>
            </w:r>
          </w:p>
          <w:p>
            <w:pPr>
              <w:pStyle w:val="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ind w:firstLineChars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课程宣传片应包含课程名称、课程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所属学校、</w:t>
            </w: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主讲教师名称、学校LOGO等相关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信息</w:t>
            </w: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pStyle w:val="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ind w:firstLineChars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课程宣传片应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突出课程特色，体现课程精要。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eastAsia" w:ascii="宋体" w:hAnsi="宋体"/>
          <w:b/>
          <w:bCs/>
          <w:sz w:val="24"/>
        </w:rPr>
      </w:pPr>
    </w:p>
    <w:p>
      <w:pPr>
        <w:pStyle w:val="2"/>
        <w:numPr>
          <w:ilvl w:val="0"/>
          <w:numId w:val="1"/>
        </w:numPr>
        <w:ind w:left="0" w:leftChars="0" w:firstLine="0" w:firstLineChars="0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文件命名规则</w:t>
      </w:r>
    </w:p>
    <w:tbl>
      <w:tblPr>
        <w:tblStyle w:val="5"/>
        <w:tblW w:w="14219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1843"/>
        <w:gridCol w:w="3543"/>
        <w:gridCol w:w="2216"/>
        <w:gridCol w:w="578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分类项目</w:t>
            </w:r>
          </w:p>
        </w:tc>
        <w:tc>
          <w:tcPr>
            <w:tcW w:w="8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标准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8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脚本内容规范</w:t>
            </w: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章、节、知识点编号规则</w:t>
            </w:r>
          </w:p>
        </w:tc>
        <w:tc>
          <w:tcPr>
            <w:tcW w:w="8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章、节、知识点编码均为2位，01～99；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如有需要分四级目录结构，命名方式同上。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内容类型的标识规则</w:t>
            </w: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符号前缀</w:t>
            </w:r>
          </w:p>
        </w:tc>
        <w:tc>
          <w:tcPr>
            <w:tcW w:w="5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内容类型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  <w:jc w:val="center"/>
        </w:trPr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5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网页页面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  <w:jc w:val="center"/>
        </w:trPr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5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图片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  <w:jc w:val="center"/>
        </w:trPr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5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声音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  <w:jc w:val="center"/>
        </w:trPr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5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动画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  <w:jc w:val="center"/>
        </w:trPr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V</w:t>
            </w:r>
          </w:p>
        </w:tc>
        <w:tc>
          <w:tcPr>
            <w:tcW w:w="5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视频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  <w:jc w:val="center"/>
        </w:trPr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D</w:t>
            </w:r>
          </w:p>
        </w:tc>
        <w:tc>
          <w:tcPr>
            <w:tcW w:w="5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文档</w:t>
            </w:r>
          </w:p>
        </w:tc>
      </w:tr>
    </w:tbl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b/>
          <w:bCs/>
          <w:sz w:val="24"/>
        </w:rPr>
      </w:pPr>
    </w:p>
    <w:p>
      <w:pPr>
        <w:numPr>
          <w:ilvl w:val="0"/>
          <w:numId w:val="0"/>
        </w:numPr>
        <w:spacing w:line="360" w:lineRule="auto"/>
        <w:ind w:left="420" w:leftChars="0"/>
        <w:rPr>
          <w:rFonts w:hint="eastAsia" w:asci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eastAsia="宋体" w:cs="宋体"/>
          <w:color w:val="000000"/>
          <w:kern w:val="0"/>
          <w:sz w:val="24"/>
          <w:szCs w:val="24"/>
        </w:rPr>
        <w:t>例如：v010101.</w:t>
      </w:r>
      <w:r>
        <w:rPr>
          <w:rFonts w:hint="eastAsia" w:ascii="宋体" w:eastAsia="宋体" w:cs="宋体"/>
          <w:color w:val="000000"/>
          <w:kern w:val="0"/>
          <w:sz w:val="24"/>
          <w:szCs w:val="24"/>
          <w:lang w:val="en-US" w:eastAsia="zh-CN"/>
        </w:rPr>
        <w:t>mp4</w:t>
      </w:r>
      <w:r>
        <w:rPr>
          <w:rFonts w:hint="eastAsia" w:ascii="宋体" w:eastAsia="宋体" w:cs="宋体"/>
          <w:color w:val="000000"/>
          <w:kern w:val="0"/>
          <w:sz w:val="24"/>
          <w:szCs w:val="24"/>
        </w:rPr>
        <w:t>表示提供的视频素材是有关第一章第一节第一个知识点的。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eastAsia" w:asci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eastAsia="宋体" w:cs="宋体"/>
          <w:color w:val="000000"/>
          <w:kern w:val="0"/>
          <w:sz w:val="24"/>
          <w:szCs w:val="24"/>
        </w:rPr>
        <w:t>注：在脚本页面中有相应内容的应做好标注。</w:t>
      </w:r>
    </w:p>
    <w:p>
      <w:pPr>
        <w:pStyle w:val="2"/>
        <w:numPr>
          <w:ilvl w:val="0"/>
          <w:numId w:val="1"/>
        </w:numPr>
        <w:ind w:left="0" w:leftChars="0" w:firstLine="0" w:firstLineChars="0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中期检查、验收、测试与投放</w:t>
      </w:r>
    </w:p>
    <w:p>
      <w:pPr>
        <w:numPr>
          <w:ilvl w:val="0"/>
          <w:numId w:val="0"/>
        </w:numPr>
        <w:spacing w:line="360" w:lineRule="auto"/>
        <w:ind w:left="840" w:leftChars="0" w:firstLine="420" w:firstLineChars="0"/>
        <w:rPr>
          <w:rFonts w:hint="eastAsia" w:asci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eastAsia="宋体" w:cs="宋体"/>
          <w:color w:val="000000"/>
          <w:kern w:val="0"/>
          <w:sz w:val="24"/>
          <w:szCs w:val="24"/>
          <w:lang w:val="en-US" w:eastAsia="zh-CN"/>
        </w:rPr>
        <w:t>组织专家进行中期检查，结项后组织专家小组对网络课程项目进行验收，验收合格的网络课程在教学平台进行测试后正式投放。</w:t>
      </w:r>
    </w:p>
    <w:p>
      <w:pPr>
        <w:pStyle w:val="2"/>
        <w:numPr>
          <w:ilvl w:val="0"/>
          <w:numId w:val="1"/>
        </w:numPr>
        <w:ind w:left="0" w:leftChars="0" w:firstLine="0" w:firstLineChars="0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总结、修订与课程维护</w:t>
      </w:r>
    </w:p>
    <w:p>
      <w:pPr>
        <w:numPr>
          <w:ilvl w:val="0"/>
          <w:numId w:val="0"/>
        </w:numPr>
        <w:spacing w:line="360" w:lineRule="auto"/>
        <w:ind w:left="840" w:leftChars="0" w:firstLine="420" w:firstLineChars="0"/>
        <w:rPr>
          <w:rFonts w:hint="eastAsia" w:asci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eastAsia="宋体" w:cs="宋体"/>
          <w:color w:val="000000"/>
          <w:kern w:val="0"/>
          <w:sz w:val="24"/>
          <w:szCs w:val="24"/>
          <w:lang w:val="en-US" w:eastAsia="zh-CN"/>
        </w:rPr>
        <w:t>课程项目制作完成后，在维护期内，项目负责人有义务配合教育学院相关人员对课程进行修订与维护。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410E1"/>
    <w:multiLevelType w:val="multilevel"/>
    <w:tmpl w:val="0D5410E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21C0172"/>
    <w:multiLevelType w:val="multilevel"/>
    <w:tmpl w:val="121C017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12D51B48"/>
    <w:multiLevelType w:val="multilevel"/>
    <w:tmpl w:val="12D51B48"/>
    <w:lvl w:ilvl="0" w:tentative="0">
      <w:start w:val="1"/>
      <w:numFmt w:val="bullet"/>
      <w:lvlText w:val="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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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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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1B9D1C2A"/>
    <w:multiLevelType w:val="multilevel"/>
    <w:tmpl w:val="1B9D1C2A"/>
    <w:lvl w:ilvl="0" w:tentative="0">
      <w:start w:val="1"/>
      <w:numFmt w:val="bullet"/>
      <w:lvlText w:val="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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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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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4">
    <w:nsid w:val="3C136F8B"/>
    <w:multiLevelType w:val="multilevel"/>
    <w:tmpl w:val="3C136F8B"/>
    <w:lvl w:ilvl="0" w:tentative="0">
      <w:start w:val="1"/>
      <w:numFmt w:val="bullet"/>
      <w:lvlText w:val="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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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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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5">
    <w:nsid w:val="4C604B6D"/>
    <w:multiLevelType w:val="multilevel"/>
    <w:tmpl w:val="4C604B6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6">
    <w:nsid w:val="5196364F"/>
    <w:multiLevelType w:val="multilevel"/>
    <w:tmpl w:val="5196364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7">
    <w:nsid w:val="55F2617C"/>
    <w:multiLevelType w:val="multilevel"/>
    <w:tmpl w:val="55F2617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8">
    <w:nsid w:val="59E885A3"/>
    <w:multiLevelType w:val="singleLevel"/>
    <w:tmpl w:val="59E885A3"/>
    <w:lvl w:ilvl="0" w:tentative="0">
      <w:start w:val="1"/>
      <w:numFmt w:val="decimal"/>
      <w:lvlText w:val="%1."/>
      <w:lvlJc w:val="left"/>
      <w:pPr>
        <w:ind w:left="425" w:leftChars="0" w:hanging="425" w:firstLineChars="0"/>
      </w:pPr>
      <w:rPr>
        <w:rFonts w:hint="default"/>
      </w:rPr>
    </w:lvl>
  </w:abstractNum>
  <w:abstractNum w:abstractNumId="9">
    <w:nsid w:val="59E88D54"/>
    <w:multiLevelType w:val="singleLevel"/>
    <w:tmpl w:val="59E88D54"/>
    <w:lvl w:ilvl="0" w:tentative="0">
      <w:start w:val="1"/>
      <w:numFmt w:val="chineseCounting"/>
      <w:suff w:val="nothing"/>
      <w:lvlText w:val="%1、"/>
      <w:lvlJc w:val="left"/>
      <w:pPr>
        <w:ind w:left="0" w:leftChars="0" w:firstLine="0" w:firstLineChars="0"/>
      </w:pPr>
      <w:rPr>
        <w:rFonts w:hint="eastAsia"/>
      </w:rPr>
    </w:lvl>
  </w:abstractNum>
  <w:abstractNum w:abstractNumId="10">
    <w:nsid w:val="5B3B3E7F"/>
    <w:multiLevelType w:val="multilevel"/>
    <w:tmpl w:val="5B3B3E7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1">
    <w:nsid w:val="710349E0"/>
    <w:multiLevelType w:val="multilevel"/>
    <w:tmpl w:val="710349E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3"/>
  </w:num>
  <w:num w:numId="5">
    <w:abstractNumId w:val="2"/>
  </w:num>
  <w:num w:numId="6">
    <w:abstractNumId w:val="11"/>
  </w:num>
  <w:num w:numId="7">
    <w:abstractNumId w:val="6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B97"/>
    <w:rsid w:val="0011106D"/>
    <w:rsid w:val="00343C91"/>
    <w:rsid w:val="003573E3"/>
    <w:rsid w:val="00650B97"/>
    <w:rsid w:val="00B268A1"/>
    <w:rsid w:val="09AE410F"/>
    <w:rsid w:val="0A6657D8"/>
    <w:rsid w:val="193851A2"/>
    <w:rsid w:val="219B6C6A"/>
    <w:rsid w:val="2A041A6F"/>
    <w:rsid w:val="3031690F"/>
    <w:rsid w:val="3A414A2A"/>
    <w:rsid w:val="3A42255C"/>
    <w:rsid w:val="5B5C4D18"/>
    <w:rsid w:val="6EDE0EE4"/>
    <w:rsid w:val="70C70DA2"/>
    <w:rsid w:val="75AC11D6"/>
    <w:rsid w:val="7F8A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n11"/>
    <w:basedOn w:val="4"/>
    <w:qFormat/>
    <w:uiPriority w:val="3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192</Words>
  <Characters>1096</Characters>
  <Lines>9</Lines>
  <Paragraphs>2</Paragraphs>
  <ScaleCrop>false</ScaleCrop>
  <LinksUpToDate>false</LinksUpToDate>
  <CharactersWithSpaces>1286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2015-11-03T06:51:00Z</dcterms:created>
  <dc:creator>a</dc:creator>
  <cp:lastModifiedBy>钟辉</cp:lastModifiedBy>
  <dcterms:modified xsi:type="dcterms:W3CDTF">2018-04-08T03:02:40Z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